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stylesWithEffects.xml" ContentType="application/vnd.ms-word.stylesWithEffec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Default Extension="xml" ContentType="application/xml"/>
  <Default Extension="tiff" ContentType="image/tiff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4" w:rsidRDefault="00062564" w:rsidP="00056BB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062564">
        <w:rPr>
          <w:rFonts w:asciiTheme="minorHAnsi" w:hAnsiTheme="minorHAnsi"/>
          <w:b/>
          <w:bCs/>
          <w:noProof/>
          <w:sz w:val="28"/>
          <w:szCs w:val="28"/>
          <w:lang w:val="pt-PT" w:eastAsia="pt-PT"/>
        </w:rPr>
        <w:drawing>
          <wp:inline distT="0" distB="0" distL="0" distR="0">
            <wp:extent cx="1943100" cy="357484"/>
            <wp:effectExtent l="0" t="0" r="0" b="5080"/>
            <wp:docPr id="1" name="Afbeelding 1" descr="N:\Logo's &amp; templates\5 FRECH\Overheid &amp; Recht\logo\ENGELS\Ov&amp;R_ENG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's &amp; templates\5 FRECH\Overheid &amp; Recht\logo\ENGELS\Ov&amp;R_ENG_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05" cy="37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64" w:rsidRDefault="00062564" w:rsidP="00056BB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A65C48" w:rsidRPr="00056BBA" w:rsidRDefault="00A65C48" w:rsidP="00056BBA">
      <w:pPr>
        <w:pStyle w:val="NoSpacing"/>
        <w:jc w:val="center"/>
        <w:rPr>
          <w:rFonts w:asciiTheme="minorHAnsi" w:hAnsiTheme="minorHAnsi"/>
          <w:sz w:val="28"/>
          <w:szCs w:val="28"/>
          <w:lang w:val="en-GB"/>
        </w:rPr>
      </w:pPr>
      <w:r w:rsidRPr="00056BBA">
        <w:rPr>
          <w:rFonts w:asciiTheme="minorHAnsi" w:hAnsiTheme="minorHAnsi"/>
          <w:b/>
          <w:bCs/>
          <w:sz w:val="28"/>
          <w:szCs w:val="28"/>
          <w:lang w:val="en-US"/>
        </w:rPr>
        <w:t>Call for papers</w:t>
      </w:r>
    </w:p>
    <w:p w:rsidR="00A65C48" w:rsidRPr="00A65C48" w:rsidRDefault="00A65C48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056BBA" w:rsidRDefault="00A65C48" w:rsidP="00056BBA">
      <w:pPr>
        <w:pStyle w:val="NoSpacing"/>
        <w:jc w:val="center"/>
        <w:rPr>
          <w:rFonts w:asciiTheme="minorHAnsi" w:eastAsia="Times New Roman" w:hAnsiTheme="minorHAnsi"/>
          <w:b/>
          <w:sz w:val="28"/>
          <w:szCs w:val="28"/>
          <w:lang w:val="en-US"/>
        </w:rPr>
      </w:pPr>
      <w:r w:rsidRPr="00056BBA">
        <w:rPr>
          <w:rFonts w:asciiTheme="minorHAnsi" w:hAnsiTheme="minorHAnsi"/>
          <w:b/>
          <w:bCs/>
          <w:sz w:val="28"/>
          <w:szCs w:val="28"/>
          <w:lang w:val="en-US"/>
        </w:rPr>
        <w:t xml:space="preserve">Conference </w:t>
      </w:r>
      <w:r w:rsidR="00062564">
        <w:rPr>
          <w:rFonts w:asciiTheme="minorHAnsi" w:hAnsiTheme="minorHAnsi"/>
          <w:b/>
          <w:bCs/>
          <w:sz w:val="28"/>
          <w:szCs w:val="28"/>
          <w:lang w:val="en-US"/>
        </w:rPr>
        <w:t xml:space="preserve">on </w:t>
      </w:r>
      <w:r w:rsidRPr="00056BBA">
        <w:rPr>
          <w:rFonts w:asciiTheme="minorHAnsi" w:eastAsia="Times New Roman" w:hAnsiTheme="minorHAnsi"/>
          <w:b/>
          <w:sz w:val="28"/>
          <w:szCs w:val="28"/>
          <w:lang w:val="en-US"/>
        </w:rPr>
        <w:t>Law-Making in multi-level settings:</w:t>
      </w:r>
    </w:p>
    <w:p w:rsidR="00A65C48" w:rsidRPr="00056BBA" w:rsidRDefault="00A65C48" w:rsidP="00056BBA">
      <w:pPr>
        <w:pStyle w:val="NoSpacing"/>
        <w:jc w:val="center"/>
        <w:rPr>
          <w:rFonts w:asciiTheme="minorHAnsi" w:hAnsiTheme="minorHAnsi"/>
          <w:sz w:val="28"/>
          <w:szCs w:val="28"/>
          <w:lang w:val="en-GB"/>
        </w:rPr>
      </w:pPr>
      <w:r w:rsidRPr="00056BBA">
        <w:rPr>
          <w:rFonts w:asciiTheme="minorHAnsi" w:eastAsia="Times New Roman" w:hAnsiTheme="minorHAnsi"/>
          <w:b/>
          <w:sz w:val="28"/>
          <w:szCs w:val="28"/>
          <w:lang w:val="en-US"/>
        </w:rPr>
        <w:t>federalism, Europe, and beyond</w:t>
      </w:r>
    </w:p>
    <w:p w:rsidR="00A65C48" w:rsidRPr="00A65C48" w:rsidRDefault="00A65C48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A65C48" w:rsidRPr="00A65C48" w:rsidRDefault="00A65C48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 </w:t>
      </w:r>
    </w:p>
    <w:p w:rsidR="00A65C48" w:rsidRPr="00A65C48" w:rsidRDefault="00A65C48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Date: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 20-21 September 2018</w:t>
      </w:r>
      <w:r w:rsidRPr="00A65C48">
        <w:rPr>
          <w:rFonts w:asciiTheme="minorHAnsi" w:hAnsiTheme="minorHAnsi"/>
          <w:sz w:val="22"/>
          <w:szCs w:val="22"/>
          <w:lang w:val="en-US"/>
        </w:rPr>
        <w:br/>
      </w: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Venue: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 University of Antwerp</w:t>
      </w:r>
      <w:r w:rsidRPr="00A65C48">
        <w:rPr>
          <w:rFonts w:asciiTheme="minorHAnsi" w:hAnsiTheme="minorHAnsi"/>
          <w:sz w:val="22"/>
          <w:szCs w:val="22"/>
          <w:lang w:val="en-US"/>
        </w:rPr>
        <w:br/>
      </w:r>
      <w:r w:rsidR="00056BBA">
        <w:rPr>
          <w:rFonts w:asciiTheme="minorHAnsi" w:hAnsiTheme="minorHAnsi"/>
          <w:b/>
          <w:bCs/>
          <w:sz w:val="22"/>
          <w:szCs w:val="22"/>
          <w:lang w:val="en-US"/>
        </w:rPr>
        <w:t xml:space="preserve">Participation </w:t>
      </w:r>
      <w:r w:rsidR="00056BBA">
        <w:rPr>
          <w:rFonts w:asciiTheme="minorHAnsi" w:hAnsiTheme="minorHAnsi"/>
          <w:bCs/>
          <w:sz w:val="22"/>
          <w:szCs w:val="22"/>
          <w:lang w:val="en-US"/>
        </w:rPr>
        <w:t>is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 free of charge (lunch, coffee break, </w:t>
      </w:r>
      <w:r w:rsidR="00056BBA">
        <w:rPr>
          <w:rFonts w:asciiTheme="minorHAnsi" w:hAnsiTheme="minorHAnsi"/>
          <w:sz w:val="22"/>
          <w:szCs w:val="22"/>
          <w:lang w:val="en-US"/>
        </w:rPr>
        <w:t xml:space="preserve">dinner </w:t>
      </w:r>
      <w:r w:rsidRPr="00A65C48">
        <w:rPr>
          <w:rFonts w:asciiTheme="minorHAnsi" w:hAnsiTheme="minorHAnsi"/>
          <w:sz w:val="22"/>
          <w:szCs w:val="22"/>
          <w:lang w:val="en-US"/>
        </w:rPr>
        <w:t>and reception included)</w:t>
      </w:r>
      <w:r w:rsidR="00056BBA">
        <w:rPr>
          <w:rFonts w:asciiTheme="minorHAnsi" w:hAnsiTheme="minorHAnsi"/>
          <w:sz w:val="22"/>
          <w:szCs w:val="22"/>
          <w:lang w:val="en-US"/>
        </w:rPr>
        <w:t>. However, there is no budget for reimbursement of travel and lodging costs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A65C48" w:rsidRPr="00A65C48" w:rsidRDefault="00A65C48" w:rsidP="00056BBA">
      <w:pPr>
        <w:rPr>
          <w:rFonts w:asciiTheme="minorHAnsi" w:hAnsiTheme="minorHAnsi"/>
          <w:lang w:val="en-GB"/>
        </w:rPr>
      </w:pPr>
      <w:r w:rsidRPr="00A65C48">
        <w:rPr>
          <w:rFonts w:asciiTheme="minorHAnsi" w:hAnsiTheme="minorHAnsi"/>
          <w:lang w:val="en-US"/>
        </w:rPr>
        <w:t> 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 xml:space="preserve">The Government and Law Research Group of the University of Antwerp in collaboration with the International Association of Legislation, Interuniversitair Centrum voor Wetgeving, the University of Zürich, the </w:t>
      </w:r>
      <w:r w:rsidR="00DF7EC5">
        <w:rPr>
          <w:rFonts w:asciiTheme="minorHAnsi" w:hAnsiTheme="minorHAnsi"/>
          <w:sz w:val="22"/>
          <w:szCs w:val="22"/>
          <w:lang w:val="en-US"/>
        </w:rPr>
        <w:t>Institute for Legal and Political Sciences/Lisbon Centre for Research in Public Law of Lisbon Law School/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University of Lisbon, and Actore – Jean Monnet Centre of Excellence, invite </w:t>
      </w:r>
      <w:r w:rsidR="00056BBA">
        <w:rPr>
          <w:rFonts w:asciiTheme="minorHAnsi" w:hAnsiTheme="minorHAnsi"/>
          <w:sz w:val="22"/>
          <w:szCs w:val="22"/>
          <w:lang w:val="en-US"/>
        </w:rPr>
        <w:t xml:space="preserve">papers 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for a conference on </w:t>
      </w:r>
      <w:r w:rsidRPr="00A65C48">
        <w:rPr>
          <w:rFonts w:asciiTheme="minorHAnsi" w:eastAsia="Times New Roman" w:hAnsiTheme="minorHAnsi"/>
          <w:i/>
          <w:sz w:val="22"/>
          <w:szCs w:val="22"/>
          <w:lang w:val="en-US"/>
        </w:rPr>
        <w:t>Law-Making in multi-level settings: federalism, Europe, and beyond</w:t>
      </w:r>
      <w:r w:rsidRPr="00A65C48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to be held in Antwerp, Belgium at the University of Antwerp on </w:t>
      </w:r>
      <w:r>
        <w:rPr>
          <w:rFonts w:asciiTheme="minorHAnsi" w:hAnsiTheme="minorHAnsi"/>
          <w:sz w:val="22"/>
          <w:szCs w:val="22"/>
          <w:lang w:val="en-US"/>
        </w:rPr>
        <w:t>20-21 September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 2018. 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 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Papers are welcomed on</w:t>
      </w:r>
      <w:r>
        <w:rPr>
          <w:rFonts w:asciiTheme="minorHAnsi" w:hAnsiTheme="minorHAnsi"/>
          <w:sz w:val="22"/>
          <w:szCs w:val="22"/>
          <w:lang w:val="en-US"/>
        </w:rPr>
        <w:t xml:space="preserve"> one of the three themes: (1) Quality of Legislation in Multi-Level Settings; (2) Quality of EU Legislation; (3) Legislation adopted by EU Member States to comply with their EU obligations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 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 xml:space="preserve">The purpose of the conference is to convene </w:t>
      </w:r>
      <w:r>
        <w:rPr>
          <w:rFonts w:asciiTheme="minorHAnsi" w:hAnsiTheme="minorHAnsi"/>
          <w:sz w:val="22"/>
          <w:szCs w:val="22"/>
          <w:lang w:val="en-US"/>
        </w:rPr>
        <w:t xml:space="preserve">senior and junior academics as well as practitioners 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for a discussion on emerging questions </w:t>
      </w:r>
      <w:r>
        <w:rPr>
          <w:rFonts w:asciiTheme="minorHAnsi" w:hAnsiTheme="minorHAnsi"/>
          <w:sz w:val="22"/>
          <w:szCs w:val="22"/>
          <w:lang w:val="en-US"/>
        </w:rPr>
        <w:t>on the quality of legislation in multilevel governance systems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  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 xml:space="preserve">The conveners will publish the papers </w:t>
      </w:r>
      <w:r>
        <w:rPr>
          <w:rFonts w:asciiTheme="minorHAnsi" w:hAnsiTheme="minorHAnsi"/>
          <w:sz w:val="22"/>
          <w:szCs w:val="22"/>
          <w:lang w:val="en-US"/>
        </w:rPr>
        <w:t>in the IAL Series (Nomos and Hart), after peer review</w:t>
      </w:r>
      <w:r w:rsidRPr="00A65C48">
        <w:rPr>
          <w:rFonts w:asciiTheme="minorHAnsi" w:hAnsiTheme="minorHAnsi"/>
          <w:sz w:val="22"/>
          <w:szCs w:val="22"/>
          <w:lang w:val="en-US"/>
        </w:rPr>
        <w:t>.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 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Submission instructions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nterested </w:t>
      </w:r>
      <w:r>
        <w:rPr>
          <w:rFonts w:asciiTheme="minorHAnsi" w:hAnsiTheme="minorHAnsi"/>
          <w:sz w:val="22"/>
          <w:szCs w:val="22"/>
          <w:lang w:val="en-US"/>
        </w:rPr>
        <w:t xml:space="preserve">scholars </w:t>
      </w:r>
      <w:r w:rsidRPr="00A65C48">
        <w:rPr>
          <w:rFonts w:asciiTheme="minorHAnsi" w:hAnsiTheme="minorHAnsi"/>
          <w:sz w:val="22"/>
          <w:szCs w:val="22"/>
          <w:lang w:val="en-US"/>
        </w:rPr>
        <w:t>are invited to respond to this call for papers with a maximum</w:t>
      </w:r>
      <w:r>
        <w:rPr>
          <w:rFonts w:asciiTheme="minorHAnsi" w:hAnsiTheme="minorHAnsi"/>
          <w:sz w:val="22"/>
          <w:szCs w:val="22"/>
          <w:lang w:val="en-US"/>
        </w:rPr>
        <w:t xml:space="preserve"> 500 words abstract in 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English and a short CV. Proposals should be submitted by email to </w:t>
      </w:r>
      <w:hyperlink r:id="rId8" w:history="1">
        <w:r w:rsidRPr="00543001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patricia.popelier@uantwerpen.be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no later than </w:t>
      </w:r>
      <w:r>
        <w:rPr>
          <w:rFonts w:asciiTheme="minorHAnsi" w:hAnsiTheme="minorHAnsi"/>
          <w:b/>
          <w:sz w:val="22"/>
          <w:szCs w:val="22"/>
          <w:lang w:val="en-US"/>
        </w:rPr>
        <w:t>9 April 2018.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Successful applicants will be selected and notified no later than </w:t>
      </w:r>
      <w:r w:rsidR="00056BBA">
        <w:rPr>
          <w:rFonts w:asciiTheme="minorHAnsi" w:hAnsiTheme="minorHAnsi"/>
          <w:sz w:val="22"/>
          <w:szCs w:val="22"/>
          <w:lang w:val="en-US"/>
        </w:rPr>
        <w:t>4 May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 2018.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 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Inquiries</w:t>
      </w:r>
    </w:p>
    <w:p w:rsidR="00A65C48" w:rsidRPr="00A65C48" w:rsidRDefault="00A65C48" w:rsidP="00056BBA">
      <w:pPr>
        <w:pStyle w:val="NoSpacing"/>
        <w:jc w:val="both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Please, direct inquiries in connec</w:t>
      </w:r>
      <w:r w:rsidR="00056BBA">
        <w:rPr>
          <w:rFonts w:asciiTheme="minorHAnsi" w:hAnsiTheme="minorHAnsi"/>
          <w:sz w:val="22"/>
          <w:szCs w:val="22"/>
          <w:lang w:val="en-US"/>
        </w:rPr>
        <w:t>tion with this conference to patricia.popelier@uantwerpen.be</w:t>
      </w:r>
      <w:r w:rsidRPr="00A65C48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A65C48" w:rsidRPr="00A65C48" w:rsidRDefault="00A65C48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 </w:t>
      </w:r>
    </w:p>
    <w:p w:rsidR="00A65C48" w:rsidRPr="00A65C48" w:rsidRDefault="00A65C48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b/>
          <w:bCs/>
          <w:sz w:val="22"/>
          <w:szCs w:val="22"/>
          <w:lang w:val="en-US"/>
        </w:rPr>
        <w:t>Conference organizing committee</w:t>
      </w:r>
    </w:p>
    <w:p w:rsidR="00A65C48" w:rsidRDefault="00056BBA" w:rsidP="00056BBA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Patricia Popelier </w:t>
      </w:r>
      <w:r w:rsidR="006F505F">
        <w:rPr>
          <w:rFonts w:asciiTheme="minorHAnsi" w:hAnsiTheme="minorHAnsi"/>
          <w:sz w:val="22"/>
          <w:szCs w:val="22"/>
          <w:lang w:val="en-US"/>
        </w:rPr>
        <w:t xml:space="preserve"> (</w:t>
      </w:r>
      <w:r>
        <w:rPr>
          <w:rFonts w:asciiTheme="minorHAnsi" w:hAnsiTheme="minorHAnsi"/>
          <w:sz w:val="22"/>
          <w:szCs w:val="22"/>
          <w:lang w:val="en-US"/>
        </w:rPr>
        <w:t>University of Antwerp</w:t>
      </w:r>
      <w:r w:rsidR="006F505F">
        <w:rPr>
          <w:rFonts w:asciiTheme="minorHAnsi" w:hAnsiTheme="minorHAnsi"/>
          <w:sz w:val="22"/>
          <w:szCs w:val="22"/>
          <w:lang w:val="en-US"/>
        </w:rPr>
        <w:t>)</w:t>
      </w:r>
    </w:p>
    <w:p w:rsidR="00056BBA" w:rsidRDefault="006F505F" w:rsidP="00056BBA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William Robinson (</w:t>
      </w:r>
      <w:r w:rsidR="00AD6046">
        <w:rPr>
          <w:rFonts w:asciiTheme="minorHAnsi" w:hAnsiTheme="minorHAnsi"/>
          <w:sz w:val="22"/>
          <w:szCs w:val="22"/>
          <w:lang w:val="en-US"/>
        </w:rPr>
        <w:t>Institute of Advanced Legal Studies</w:t>
      </w:r>
      <w:r>
        <w:rPr>
          <w:rFonts w:asciiTheme="minorHAnsi" w:hAnsiTheme="minorHAnsi"/>
          <w:sz w:val="22"/>
          <w:szCs w:val="22"/>
          <w:lang w:val="en-US"/>
        </w:rPr>
        <w:t>)</w:t>
      </w:r>
    </w:p>
    <w:p w:rsidR="00056BBA" w:rsidRPr="002548C0" w:rsidRDefault="006F505F" w:rsidP="00056BBA">
      <w:pPr>
        <w:pStyle w:val="NoSpacing"/>
        <w:rPr>
          <w:rFonts w:asciiTheme="minorHAnsi" w:hAnsiTheme="minorHAnsi"/>
          <w:sz w:val="22"/>
          <w:szCs w:val="22"/>
          <w:lang w:val="pt-PT"/>
        </w:rPr>
      </w:pPr>
      <w:r>
        <w:rPr>
          <w:rFonts w:asciiTheme="minorHAnsi" w:hAnsiTheme="minorHAnsi"/>
          <w:sz w:val="22"/>
          <w:szCs w:val="22"/>
          <w:lang w:val="pt-PT"/>
        </w:rPr>
        <w:t>João Tiago Silveira (</w:t>
      </w:r>
      <w:r w:rsidR="00DF7EC5">
        <w:rPr>
          <w:rFonts w:asciiTheme="minorHAnsi" w:hAnsiTheme="minorHAnsi"/>
          <w:sz w:val="22"/>
          <w:szCs w:val="22"/>
          <w:lang w:val="pt-PT"/>
        </w:rPr>
        <w:t>Lisbon Law School/</w:t>
      </w:r>
      <w:r w:rsidR="00056BBA" w:rsidRPr="002548C0">
        <w:rPr>
          <w:rFonts w:asciiTheme="minorHAnsi" w:hAnsiTheme="minorHAnsi"/>
          <w:sz w:val="22"/>
          <w:szCs w:val="22"/>
          <w:lang w:val="pt-PT"/>
        </w:rPr>
        <w:t>University of Lisbon</w:t>
      </w:r>
      <w:r>
        <w:rPr>
          <w:rFonts w:asciiTheme="minorHAnsi" w:hAnsiTheme="minorHAnsi"/>
          <w:sz w:val="22"/>
          <w:szCs w:val="22"/>
          <w:lang w:val="pt-PT"/>
        </w:rPr>
        <w:t>)</w:t>
      </w:r>
    </w:p>
    <w:p w:rsidR="00056BBA" w:rsidRPr="00A65C48" w:rsidRDefault="006F505F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US"/>
        </w:rPr>
        <w:t>Felix Uhlmann (</w:t>
      </w:r>
      <w:r w:rsidR="00056BBA">
        <w:rPr>
          <w:rFonts w:asciiTheme="minorHAnsi" w:hAnsiTheme="minorHAnsi"/>
          <w:sz w:val="22"/>
          <w:szCs w:val="22"/>
          <w:lang w:val="en-US"/>
        </w:rPr>
        <w:t>University of Zürich</w:t>
      </w:r>
      <w:r>
        <w:rPr>
          <w:rFonts w:asciiTheme="minorHAnsi" w:hAnsiTheme="minorHAnsi"/>
          <w:sz w:val="22"/>
          <w:szCs w:val="22"/>
          <w:lang w:val="en-US"/>
        </w:rPr>
        <w:t>)</w:t>
      </w:r>
    </w:p>
    <w:p w:rsidR="00056BBA" w:rsidRDefault="006F505F" w:rsidP="00056BBA">
      <w:pPr>
        <w:pStyle w:val="NoSpacing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Helen Xanthaki </w:t>
      </w:r>
      <w:r w:rsidR="00056BBA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(</w:t>
      </w:r>
      <w:r w:rsidR="00056BBA">
        <w:rPr>
          <w:rFonts w:asciiTheme="minorHAnsi" w:hAnsiTheme="minorHAnsi"/>
          <w:sz w:val="22"/>
          <w:szCs w:val="22"/>
          <w:lang w:val="en-US"/>
        </w:rPr>
        <w:t>University College London</w:t>
      </w:r>
      <w:r>
        <w:rPr>
          <w:rFonts w:asciiTheme="minorHAnsi" w:hAnsiTheme="minorHAnsi"/>
          <w:sz w:val="22"/>
          <w:szCs w:val="22"/>
          <w:lang w:val="en-US"/>
        </w:rPr>
        <w:t>)</w:t>
      </w:r>
    </w:p>
    <w:p w:rsidR="00056BBA" w:rsidRDefault="00056BBA" w:rsidP="00056BBA">
      <w:pPr>
        <w:pStyle w:val="NoSpacing"/>
        <w:rPr>
          <w:rFonts w:asciiTheme="minorHAnsi" w:hAnsiTheme="minorHAnsi"/>
          <w:sz w:val="22"/>
          <w:szCs w:val="22"/>
          <w:lang w:val="en-US"/>
        </w:rPr>
      </w:pPr>
    </w:p>
    <w:p w:rsidR="00A65C48" w:rsidRPr="00A65C48" w:rsidRDefault="00A65C48" w:rsidP="00056BBA">
      <w:pPr>
        <w:pStyle w:val="NoSpacing"/>
        <w:rPr>
          <w:rFonts w:asciiTheme="minorHAnsi" w:hAnsiTheme="minorHAnsi"/>
          <w:sz w:val="22"/>
          <w:szCs w:val="22"/>
          <w:lang w:val="en-GB"/>
        </w:rPr>
      </w:pPr>
      <w:r w:rsidRPr="00A65C48">
        <w:rPr>
          <w:rFonts w:asciiTheme="minorHAnsi" w:hAnsiTheme="minorHAnsi"/>
          <w:sz w:val="22"/>
          <w:szCs w:val="22"/>
          <w:lang w:val="en-US"/>
        </w:rPr>
        <w:t> </w:t>
      </w:r>
    </w:p>
    <w:p w:rsidR="00A65C48" w:rsidRPr="00056BBA" w:rsidRDefault="00E52701" w:rsidP="00056BBA">
      <w:pPr>
        <w:pStyle w:val="NoSpacing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US"/>
        </w:rPr>
        <w:t>Please circulate this Call for P</w:t>
      </w:r>
      <w:r w:rsidR="00A65C48" w:rsidRPr="00056BBA">
        <w:rPr>
          <w:rFonts w:asciiTheme="minorHAnsi" w:hAnsiTheme="minorHAnsi"/>
          <w:b/>
          <w:sz w:val="24"/>
          <w:szCs w:val="24"/>
          <w:lang w:val="en-US"/>
        </w:rPr>
        <w:t>apers widely.</w:t>
      </w:r>
    </w:p>
    <w:p w:rsidR="00C27A01" w:rsidRPr="00A65C48" w:rsidRDefault="00C27A01" w:rsidP="00056BBA">
      <w:pPr>
        <w:rPr>
          <w:rFonts w:asciiTheme="minorHAnsi" w:hAnsiTheme="minorHAnsi"/>
          <w:lang w:val="en-GB"/>
        </w:rPr>
      </w:pPr>
    </w:p>
    <w:sectPr w:rsidR="00C27A01" w:rsidRPr="00A65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0B" w:rsidRDefault="00EE5D0B" w:rsidP="00EE5D0B">
      <w:r>
        <w:separator/>
      </w:r>
    </w:p>
  </w:endnote>
  <w:endnote w:type="continuationSeparator" w:id="0">
    <w:p w:rsidR="00EE5D0B" w:rsidRDefault="00EE5D0B" w:rsidP="00EE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B" w:rsidRDefault="00EE5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B" w:rsidRDefault="00EE5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B" w:rsidRDefault="00EE5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0B" w:rsidRDefault="00EE5D0B" w:rsidP="00EE5D0B">
      <w:r>
        <w:separator/>
      </w:r>
    </w:p>
  </w:footnote>
  <w:footnote w:type="continuationSeparator" w:id="0">
    <w:p w:rsidR="00EE5D0B" w:rsidRDefault="00EE5D0B" w:rsidP="00EE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B" w:rsidRDefault="00EE5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B" w:rsidRDefault="00EE5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0B" w:rsidRDefault="00EE5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48"/>
    <w:rsid w:val="00056BBA"/>
    <w:rsid w:val="00062564"/>
    <w:rsid w:val="00146168"/>
    <w:rsid w:val="002548C0"/>
    <w:rsid w:val="006F505F"/>
    <w:rsid w:val="00A65C48"/>
    <w:rsid w:val="00AD6046"/>
    <w:rsid w:val="00C27A01"/>
    <w:rsid w:val="00DF7EC5"/>
    <w:rsid w:val="00E52701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8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65C48"/>
    <w:rPr>
      <w:rFonts w:ascii="Times New Roman" w:hAnsi="Times New Roman"/>
      <w:sz w:val="20"/>
      <w:szCs w:val="20"/>
    </w:rPr>
  </w:style>
  <w:style w:type="character" w:customStyle="1" w:styleId="hyperlink0">
    <w:name w:val="hyperlink0"/>
    <w:basedOn w:val="DefaultParagraphFont"/>
    <w:rsid w:val="00A65C4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65C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0"/>
    <w:rPr>
      <w:rFonts w:ascii="Tahoma" w:hAnsi="Tahoma" w:cs="Tahoma"/>
      <w:sz w:val="16"/>
      <w:szCs w:val="16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EE5D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D0B"/>
    <w:rPr>
      <w:rFonts w:ascii="Calibri" w:hAnsi="Calibri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EE5D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D0B"/>
    <w:rPr>
      <w:rFonts w:ascii="Calibri" w:hAnsi="Calibri" w:cs="Times New Roman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48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65C48"/>
    <w:rPr>
      <w:rFonts w:ascii="Times New Roman" w:hAnsi="Times New Roman"/>
      <w:sz w:val="20"/>
      <w:szCs w:val="20"/>
    </w:rPr>
  </w:style>
  <w:style w:type="character" w:customStyle="1" w:styleId="hyperlink0">
    <w:name w:val="hyperlink0"/>
    <w:basedOn w:val="DefaultParagraphFont"/>
    <w:rsid w:val="00A65C4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65C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0"/>
    <w:rPr>
      <w:rFonts w:ascii="Tahoma" w:hAnsi="Tahoma" w:cs="Tahoma"/>
      <w:sz w:val="16"/>
      <w:szCs w:val="16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EE5D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D0B"/>
    <w:rPr>
      <w:rFonts w:ascii="Calibri" w:hAnsi="Calibri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EE5D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D0B"/>
    <w:rPr>
      <w:rFonts w:ascii="Calibri" w:hAnsi="Calibri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patricia.popelier@uantwerpen.be" TargetMode="External" />
  <Relationship Id="rId13" Type="http://schemas.openxmlformats.org/officeDocument/2006/relationships/header" Target="header3.xml" />
  <Relationship Id="rId3" Type="http://schemas.openxmlformats.org/officeDocument/2006/relationships/settings" Target="settings.xml" />
  <Relationship Id="rId7" Type="http://schemas.openxmlformats.org/officeDocument/2006/relationships/image" Target="media/image1.tiff" />
  <Relationship Id="rId12" Type="http://schemas.openxmlformats.org/officeDocument/2006/relationships/footer" Target="footer2.xml" />
  <Relationship Id="rId2" Type="http://schemas.microsoft.com/office/2007/relationships/stylesWithEffects" Target="stylesWithEffects.xml" />
  <Relationship Id="rId16" Type="http://schemas.openxmlformats.org/officeDocument/2006/relationships/theme" Target="theme/theme1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oter" Target="footer1.xml" />
  <Relationship Id="rId5" Type="http://schemas.openxmlformats.org/officeDocument/2006/relationships/footnotes" Target="footnote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webSettings" Target="web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1827</Characters>
  <Application>Microsoft Office Word</Application>
  <DocSecurity>0</DocSecurity>
  <Lines>47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